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4.jpg" ContentType="image/jpeg"/>
  <Override PartName="/word/media/rId26.jpg" ContentType="image/jpeg"/>
  <Override PartName="/word/media/rId28.jpg" ContentType="image/jpeg"/>
  <Override PartName="/word/media/rId30.jpg" ContentType="image/jpeg"/>
  <Override PartName="/word/media/rId32.jpg" ContentType="image/jpeg"/>
  <Override PartName="/word/media/rId35.jpg" ContentType="image/jpeg"/>
  <Override PartName="/word/media/rId37.jpg" ContentType="image/jpeg"/>
  <Override PartName="/word/media/rId39.jpg" ContentType="image/jpeg"/>
  <Override PartName="/word/media/rId41.jpg" ContentType="image/jpeg"/>
  <Override PartName="/word/media/rId43.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rPr>
          <w:i/>
          <w:b/>
        </w:rPr>
        <w:t xml:space="preserve">a)</w:t>
      </w:r>
      <w:r>
        <w:t xml:space="preserve"> </w:t>
      </w:r>
      <w:r>
        <w:t xml:space="preserve">EVI standardized anomaly during the period 2000-2016 for northern and southern populations. Error bars show standard error. See main text for details on EVI calculation.</w:t>
      </w:r>
      <w:r>
        <w:t xml:space="preserve"> </w:t>
      </w:r>
      <w:r>
        <w:rPr>
          <w:i/>
          <w:b/>
        </w:rPr>
        <w:t xml:space="preserve">b)</w:t>
      </w:r>
      <w:r>
        <w:t xml:space="preserve"> </w:t>
      </w:r>
      <w:r>
        <w:t xml:space="preserve">Percentage of pixels showing browning, greening or no-changes during the 2005 and 2012 drought events according to EVI standardized anomalies. See main text for an explanation of greening and browning.</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2ab.jpg" id="0" name="Picture"/>
                    <pic:cNvPicPr>
                      <a:picLocks noChangeArrowheads="1" noChangeAspect="1"/>
                    </pic:cNvPicPr>
                  </pic:nvPicPr>
                  <pic:blipFill>
                    <a:blip r:embed="rId2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4.jpg" id="0" name="Picture"/>
                    <pic:cNvPicPr>
                      <a:picLocks noChangeArrowheads="1" noChangeAspect="1"/>
                    </pic:cNvPicPr>
                  </pic:nvPicPr>
                  <pic:blipFill>
                    <a:blip r:embed="rId24"/>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 Error bars indicate standard error.</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5.jpg" id="0" name="Picture"/>
                    <pic:cNvPicPr>
                      <a:picLocks noChangeArrowheads="1" noChangeAspect="1"/>
                    </pic:cNvPicPr>
                  </pic:nvPicPr>
                  <pic:blipFill>
                    <a:blip r:embed="rId26"/>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Resilience metrics of tree-growth for eigth severe drought events since 1950 (see main text for details) as a function of drought severity.</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jpg" id="0" name="Picture"/>
                    <pic:cNvPicPr>
                      <a:picLocks noChangeArrowheads="1" noChangeAspect="1"/>
                    </pic:cNvPicPr>
                  </pic:nvPicPr>
                  <pic:blipFill>
                    <a:blip r:embed="rId28"/>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(a) and tree-growth (b). For EVI we compared northern populations (</w:t>
      </w:r>
      <w:r>
        <w:rPr>
          <w:i/>
        </w:rPr>
        <w:t xml:space="preserve">red circle</w:t>
      </w:r>
      <w:r>
        <w:t xml:space="preserve">) with southern ones (</w:t>
      </w:r>
      <w:r>
        <w:rPr>
          <w:i/>
        </w:rPr>
        <w:t xml:space="preserve">green circle</w:t>
      </w:r>
      <w:r>
        <w:t xml:space="preserve">). For BAI we compared the more xeric northern population (San Juan, SJ;</w:t>
      </w:r>
      <w:r>
        <w:t xml:space="preserve"> </w:t>
      </w:r>
      <w:r>
        <w:rPr>
          <w:i/>
        </w:rPr>
        <w:t xml:space="preserve">red circle</w:t>
      </w:r>
      <w:r>
        <w:t xml:space="preserve">) with the two southerns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extodecuerpo"/>
      </w:pPr>
      <w:r>
        <w:drawing>
          <wp:inline>
            <wp:extent cx="6324600" cy="7186381"/>
            <wp:effectExtent b="0" l="0" r="0" t="0"/>
            <wp:docPr descr="" title="" id="1" name="Picture"/>
            <a:graphic>
              <a:graphicData uri="http://schemas.openxmlformats.org/drawingml/2006/picture">
                <pic:pic>
                  <pic:nvPicPr>
                    <pic:cNvPr descr="../../man/figures/svg/fig_7.jpg" id="0" name="Picture"/>
                    <pic:cNvPicPr>
                      <a:picLocks noChangeArrowheads="1" noChangeAspect="1"/>
                    </pic:cNvPicPr>
                  </pic:nvPicPr>
                  <pic:blipFill>
                    <a:blip r:embed="rId30"/>
                    <a:stretch>
                      <a:fillRect/>
                    </a:stretch>
                  </pic:blipFill>
                  <pic:spPr bwMode="auto">
                    <a:xfrm>
                      <a:off x="0" y="0"/>
                      <a:ext cx="6324600" cy="7186381"/>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3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S1.</w:t>
      </w:r>
      <w:r>
        <w:t xml:space="preserve"> </w:t>
      </w:r>
      <w:r>
        <w:rPr>
          <w:i/>
          <w:b/>
        </w:rPr>
        <w:t xml:space="preserve">a)</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(585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r>
        <w:t xml:space="preserve"> </w:t>
      </w:r>
      <w:r>
        <w:rPr>
          <w:i/>
          <w:b/>
        </w:rPr>
        <w:t xml:space="preserve">b)</w:t>
      </w:r>
      <w:r>
        <w:t xml:space="preserve"> </w:t>
      </w:r>
      <w:r>
        <w:t xml:space="preserve">Drought severity in Sierra Nevada for the 1901-2016 period based on the Standardised Precipitation-Evapotranspiration Index (SPEI). Data from Global SPEI database (</w:t>
      </w:r>
      <w:hyperlink r:id="rId34">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5060536"/>
            <wp:effectExtent b="0" l="0" r="0" t="0"/>
            <wp:docPr descr="" title="" id="1" name="Picture"/>
            <a:graphic>
              <a:graphicData uri="http://schemas.openxmlformats.org/drawingml/2006/picture">
                <pic:pic>
                  <pic:nvPicPr>
                    <pic:cNvPr descr="../../man/figures/svg/fig_s1ab.jpg" id="0" name="Picture"/>
                    <pic:cNvPicPr>
                      <a:picLocks noChangeArrowheads="1" noChangeAspect="1"/>
                    </pic:cNvPicPr>
                  </pic:nvPicPr>
                  <pic:blipFill>
                    <a:blip r:embed="rId35"/>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S2.</w:t>
      </w:r>
      <w:r>
        <w:t xml:space="preserve"> </w:t>
      </w:r>
      <w:r>
        <w:rPr>
          <w:i/>
          <w:b/>
        </w:rPr>
        <w:t xml:space="preserve">a)</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r>
        <w:t xml:space="preserve"> </w:t>
      </w:r>
      <w:r>
        <w:rPr>
          <w:i/>
          <w:b/>
        </w:rPr>
        <w:t xml:space="preserve">b)</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060536"/>
            <wp:effectExtent b="0" l="0" r="0" t="0"/>
            <wp:docPr descr="" title="" id="1" name="Picture"/>
            <a:graphic>
              <a:graphicData uri="http://schemas.openxmlformats.org/drawingml/2006/picture">
                <pic:pic>
                  <pic:nvPicPr>
                    <pic:cNvPr descr="../../man/figures/svg/fig_s2ab.jpg" id="0" name="Picture"/>
                    <pic:cNvPicPr>
                      <a:picLocks noChangeArrowheads="1" noChangeAspect="1"/>
                    </pic:cNvPicPr>
                  </pic:nvPicPr>
                  <pic:blipFill>
                    <a:blip r:embed="rId37"/>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8" w:name="section-8"/>
      <w:bookmarkEnd w:id="38"/>
    </w:p>
    <w:p>
      <w:pPr>
        <w:pStyle w:val="FirstParagraph"/>
      </w:pPr>
      <w:r>
        <w:rPr>
          <w:b/>
        </w:rPr>
        <w:t xml:space="preserve">Figure S3.</w:t>
      </w:r>
      <w:r>
        <w:t xml:space="preserve"> </w:t>
      </w:r>
      <w:r>
        <w:rPr>
          <w:i/>
          <w:b/>
        </w:rPr>
        <w:t xml:space="preserve">a)</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w:t>
      </w:r>
      <w:r>
        <w:t xml:space="preserve"> </w:t>
      </w:r>
      <w:r>
        <w:rPr>
          <w:i/>
          <w:b/>
        </w:rPr>
        <w:t xml:space="preserve">b)</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w:t>
      </w:r>
    </w:p>
    <w:p>
      <w:pPr>
        <w:pStyle w:val="Textodecuerpo"/>
      </w:pPr>
      <w:r>
        <w:drawing>
          <wp:inline>
            <wp:extent cx="6324600" cy="3162300"/>
            <wp:effectExtent b="0" l="0" r="0" t="0"/>
            <wp:docPr descr="" title="" id="1" name="Picture"/>
            <a:graphic>
              <a:graphicData uri="http://schemas.openxmlformats.org/drawingml/2006/picture">
                <pic:pic>
                  <pic:nvPicPr>
                    <pic:cNvPr descr="../../man/figures/svg/fig_s4ab.jpg" id="0" name="Picture"/>
                    <pic:cNvPicPr>
                      <a:picLocks noChangeArrowheads="1" noChangeAspect="1"/>
                    </pic:cNvPicPr>
                  </pic:nvPicPr>
                  <pic:blipFill>
                    <a:blip r:embed="rId39"/>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S4.</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41"/>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S5.</w:t>
      </w:r>
      <w:r>
        <w:t xml:space="preserve"> </w:t>
      </w:r>
      <w:r>
        <w:t xml:space="preserve">Resilience metrics of the tree-growth for severe drought events since 1950 (excluding 1995 drought event).</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43"/>
                    <a:stretch>
                      <a:fillRect/>
                    </a:stretch>
                  </pic:blipFill>
                  <pic:spPr bwMode="auto">
                    <a:xfrm>
                      <a:off x="0" y="0"/>
                      <a:ext cx="6324600" cy="3541518"/>
                    </a:xfrm>
                    <a:prstGeom prst="rect">
                      <a:avLst/>
                    </a:prstGeom>
                    <a:noFill/>
                    <a:ln w="9525">
                      <a:noFill/>
                      <a:headEnd/>
                      <a:tailEnd/>
                    </a:ln>
                  </pic:spPr>
                </pic:pic>
              </a:graphicData>
            </a:graphic>
          </wp:inline>
        </w:drawing>
      </w:r>
    </w:p>
    <w:bookmarkStart w:id="47" w:name="refs"/>
    <w:bookmarkStart w:id="44" w:name="ref-Nowacki1997"/>
    <w:p>
      <w:pPr>
        <w:pStyle w:val="Bibliografa"/>
      </w:pPr>
      <w:r>
        <w:t xml:space="preserve">Nowacki, G. J., and M. D. Abrams. 1997. Radial-growth averaging criteria for reconstructing disturbance histories from presettlement-origing oaks. Ecological Monographs 67:225–249.</w:t>
      </w:r>
    </w:p>
    <w:bookmarkEnd w:id="44"/>
    <w:bookmarkStart w:id="45" w:name="ref-Pascoa2017"/>
    <w:p>
      <w:pPr>
        <w:pStyle w:val="Bibliografa"/>
      </w:pPr>
      <w:r>
        <w:t xml:space="preserve">Páscoa, P., C. Gouveia, A. Russo, and R. Trigo. 2017. Drought trends in the Iberian Peninsula over the last 112 years. Advances in Meteorology:ID4653126.</w:t>
      </w:r>
    </w:p>
    <w:bookmarkEnd w:id="45"/>
    <w:bookmarkStart w:id="46"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46"/>
    <w:bookmarkEnd w:id="47"/>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6" Target="media/rId26.jp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image" Id="rId20" Target="media/rId20.jpg" /><Relationship Type="http://schemas.openxmlformats.org/officeDocument/2006/relationships/hyperlink" Id="rId34"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4"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2019-11-05T12:02:19Z</dcterms:created>
  <dcterms:modified xsi:type="dcterms:W3CDTF">2019-11-05T12:02:19Z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